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DD" w:rsidRPr="005963DD" w:rsidRDefault="005963DD" w:rsidP="005963DD">
      <w:pPr>
        <w:spacing w:before="1332" w:line="300" w:lineRule="exact"/>
        <w:jc w:val="center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5963DD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775970" cy="967740"/>
            <wp:effectExtent l="19050" t="0" r="508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3DD" w:rsidRPr="005963DD" w:rsidRDefault="005963DD" w:rsidP="005963DD">
      <w:pPr>
        <w:pStyle w:val="a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63D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5963DD" w:rsidRPr="005963DD" w:rsidRDefault="005963DD" w:rsidP="005963DD">
      <w:pPr>
        <w:pStyle w:val="a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63DD">
        <w:rPr>
          <w:rFonts w:ascii="Times New Roman" w:hAnsi="Times New Roman" w:cs="Times New Roman"/>
          <w:b/>
          <w:sz w:val="28"/>
          <w:szCs w:val="28"/>
        </w:rPr>
        <w:t xml:space="preserve"> КОЛОКОЛЬЦОВСКОГО  МУНИЦИПАЛЬНОГО  ОБРАЗОВАНИЯ</w:t>
      </w:r>
    </w:p>
    <w:p w:rsidR="005963DD" w:rsidRPr="005963DD" w:rsidRDefault="005963DD" w:rsidP="005963DD">
      <w:pPr>
        <w:pStyle w:val="a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63DD">
        <w:rPr>
          <w:rFonts w:ascii="Times New Roman" w:hAnsi="Times New Roman" w:cs="Times New Roman"/>
          <w:b/>
          <w:sz w:val="28"/>
          <w:szCs w:val="28"/>
        </w:rPr>
        <w:t xml:space="preserve"> КАЛИНИНСКОГО  МУНИЦИПАЛЬНОГО РАЙОНА</w:t>
      </w:r>
    </w:p>
    <w:p w:rsidR="005963DD" w:rsidRPr="005963DD" w:rsidRDefault="005963DD" w:rsidP="005963DD">
      <w:pPr>
        <w:pStyle w:val="a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63D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963DD" w:rsidRDefault="005963DD" w:rsidP="005963DD">
      <w:pPr>
        <w:pStyle w:val="4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5963DD" w:rsidRPr="005963DD" w:rsidRDefault="005963DD" w:rsidP="005963DD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963DD">
        <w:rPr>
          <w:rFonts w:ascii="Times New Roman" w:hAnsi="Times New Roman" w:cs="Times New Roman"/>
          <w:i w:val="0"/>
          <w:color w:val="auto"/>
          <w:sz w:val="28"/>
          <w:szCs w:val="28"/>
        </w:rPr>
        <w:t>РЕШЕНИЕ</w:t>
      </w:r>
    </w:p>
    <w:p w:rsidR="005963DD" w:rsidRPr="005963DD" w:rsidRDefault="005963DD" w:rsidP="005963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5963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5963DD">
        <w:rPr>
          <w:rFonts w:ascii="Times New Roman" w:hAnsi="Times New Roman" w:cs="Times New Roman"/>
          <w:b/>
          <w:sz w:val="28"/>
          <w:szCs w:val="28"/>
        </w:rPr>
        <w:t>2019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5963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10-02</w:t>
      </w:r>
    </w:p>
    <w:p w:rsidR="005963DD" w:rsidRPr="005963DD" w:rsidRDefault="005963DD" w:rsidP="005963DD">
      <w:pPr>
        <w:pStyle w:val="a6"/>
        <w:rPr>
          <w:sz w:val="24"/>
        </w:rPr>
      </w:pPr>
      <w:r w:rsidRPr="005963DD">
        <w:rPr>
          <w:sz w:val="24"/>
        </w:rPr>
        <w:t>с. Колокольцовка</w:t>
      </w:r>
    </w:p>
    <w:p w:rsidR="002E79ED" w:rsidRPr="002E79ED" w:rsidRDefault="002E79ED" w:rsidP="002E79ED">
      <w:pPr>
        <w:spacing w:after="0" w:line="27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79ED" w:rsidRPr="002E79ED" w:rsidRDefault="005963DD" w:rsidP="002E79ED">
      <w:pPr>
        <w:spacing w:after="0" w:line="270" w:lineRule="atLeast"/>
        <w:ind w:right="3117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«</w:t>
      </w:r>
      <w:r w:rsidR="002E79ED" w:rsidRPr="002E79ED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О внесении изменений в «Правила землепользования и застройки Колокольцовского МО Калини</w:t>
      </w:r>
      <w:r w:rsidR="0077429C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н</w:t>
      </w:r>
      <w:r w:rsidR="002E79ED" w:rsidRPr="002E79ED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ского МР Саратовской области», утвержденные решением Районного собрания Калининского муниципального района Саратовской области от 26.09.2017 года № 9-77</w:t>
      </w:r>
      <w:r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»</w:t>
      </w:r>
      <w:proofErr w:type="gramEnd"/>
    </w:p>
    <w:p w:rsidR="002E79ED" w:rsidRPr="002E79ED" w:rsidRDefault="002E79ED" w:rsidP="002E79ED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2E79ED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2E79ED" w:rsidRPr="002E79ED" w:rsidRDefault="002E79ED" w:rsidP="002E79ED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E79ED">
        <w:rPr>
          <w:rFonts w:ascii="Times New Roman" w:hAnsi="Times New Roman" w:cs="Times New Roman"/>
          <w:sz w:val="28"/>
          <w:szCs w:val="28"/>
        </w:rPr>
        <w:t>В  соответствии с Федеральным законом РФ от 6 октября 2003 года № 131-ФЗ «Об общих принципах организации местного самоуправления в Российской Федерации», соглашением о передаче органами местного самоуправления Калининского муниципального района Саратовской области части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 органом местного значения Колокольцовского муниципального образования</w:t>
      </w:r>
      <w:proofErr w:type="gramEnd"/>
      <w:r w:rsidRPr="002E79ED">
        <w:rPr>
          <w:rFonts w:ascii="Times New Roman" w:hAnsi="Times New Roman" w:cs="Times New Roman"/>
          <w:sz w:val="28"/>
          <w:szCs w:val="28"/>
        </w:rPr>
        <w:t xml:space="preserve"> на 2019 год от 17.04.2019, Уставом Колокольцовского  муниципального образования Калининского муниципального района, Совет депутатов Колокольцовского МО Калининского МР Саратовской области</w:t>
      </w:r>
    </w:p>
    <w:p w:rsidR="002E79ED" w:rsidRPr="002E79ED" w:rsidRDefault="002E79ED" w:rsidP="002E79ED">
      <w:pPr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2E79ED" w:rsidRDefault="002E79ED" w:rsidP="005963DD">
      <w:pPr>
        <w:spacing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63D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5963DD" w:rsidRPr="005963DD" w:rsidRDefault="005963DD" w:rsidP="005963DD">
      <w:pPr>
        <w:spacing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79ED" w:rsidRPr="002E79ED" w:rsidRDefault="002E79ED" w:rsidP="002E79ED">
      <w:pPr>
        <w:tabs>
          <w:tab w:val="left" w:pos="2880"/>
        </w:tabs>
        <w:spacing w:after="0" w:line="27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E79ED">
        <w:rPr>
          <w:rFonts w:ascii="Times New Roman" w:hAnsi="Times New Roman" w:cs="Times New Roman"/>
          <w:color w:val="000000"/>
          <w:sz w:val="28"/>
          <w:szCs w:val="28"/>
        </w:rPr>
        <w:t>1.  Изложить  правила землепользования и застройки Колокольцовского МО Калининского МР Саратовской области, а именно: статью 12.7 Зона сельскохозяйственного использования (приложение 1) , в новой редакции.</w:t>
      </w:r>
    </w:p>
    <w:p w:rsidR="002E79ED" w:rsidRPr="002E79ED" w:rsidRDefault="002E79ED" w:rsidP="002E7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79ED"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со дня его подписания.</w:t>
      </w:r>
    </w:p>
    <w:p w:rsidR="002E79ED" w:rsidRPr="002E79ED" w:rsidRDefault="002E79ED" w:rsidP="002E79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79ED">
        <w:rPr>
          <w:rFonts w:ascii="Times New Roman" w:hAnsi="Times New Roman" w:cs="Times New Roman"/>
          <w:sz w:val="28"/>
          <w:szCs w:val="28"/>
        </w:rPr>
        <w:t>3. Контроль настоящего решения оставляю за собой.</w:t>
      </w:r>
    </w:p>
    <w:p w:rsidR="002E79ED" w:rsidRDefault="002E79ED" w:rsidP="002E79ED">
      <w:pPr>
        <w:tabs>
          <w:tab w:val="left" w:pos="2880"/>
        </w:tabs>
        <w:spacing w:line="270" w:lineRule="atLeast"/>
        <w:ind w:firstLine="709"/>
        <w:rPr>
          <w:color w:val="000000"/>
          <w:sz w:val="28"/>
          <w:szCs w:val="28"/>
        </w:rPr>
      </w:pPr>
    </w:p>
    <w:p w:rsidR="002E79ED" w:rsidRDefault="002E79ED" w:rsidP="002E79ED">
      <w:pPr>
        <w:tabs>
          <w:tab w:val="left" w:pos="2880"/>
        </w:tabs>
        <w:spacing w:line="270" w:lineRule="atLeast"/>
        <w:ind w:firstLine="709"/>
        <w:rPr>
          <w:color w:val="000000"/>
          <w:sz w:val="28"/>
          <w:szCs w:val="28"/>
        </w:rPr>
      </w:pPr>
    </w:p>
    <w:p w:rsidR="002E79ED" w:rsidRDefault="002E79ED" w:rsidP="002E79ED">
      <w:pPr>
        <w:tabs>
          <w:tab w:val="left" w:pos="2880"/>
        </w:tabs>
        <w:spacing w:line="270" w:lineRule="atLeast"/>
        <w:ind w:firstLine="709"/>
        <w:rPr>
          <w:color w:val="000000"/>
          <w:sz w:val="28"/>
          <w:szCs w:val="28"/>
        </w:rPr>
      </w:pPr>
    </w:p>
    <w:p w:rsidR="002E79ED" w:rsidRPr="005963DD" w:rsidRDefault="002E79ED" w:rsidP="002E79ED">
      <w:pPr>
        <w:tabs>
          <w:tab w:val="left" w:pos="2880"/>
        </w:tabs>
        <w:spacing w:line="270" w:lineRule="atLeast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63DD">
        <w:rPr>
          <w:rFonts w:ascii="Times New Roman" w:hAnsi="Times New Roman" w:cs="Times New Roman"/>
          <w:b/>
          <w:color w:val="000000"/>
          <w:sz w:val="28"/>
          <w:szCs w:val="28"/>
        </w:rPr>
        <w:t>Глава Колокольцовского МО                                           Е.В. Качанова</w:t>
      </w:r>
    </w:p>
    <w:p w:rsidR="005963DD" w:rsidRDefault="005963DD" w:rsidP="002E79ED">
      <w:pPr>
        <w:pStyle w:val="3"/>
        <w:spacing w:after="0"/>
        <w:ind w:left="3261" w:firstLine="2835"/>
        <w:rPr>
          <w:b w:val="0"/>
          <w:lang w:val="ru-RU" w:eastAsia="ar-SA"/>
        </w:rPr>
      </w:pPr>
      <w:bookmarkStart w:id="0" w:name="_Toc312188832"/>
    </w:p>
    <w:p w:rsidR="005963DD" w:rsidRDefault="005963DD" w:rsidP="0077429C">
      <w:pPr>
        <w:pStyle w:val="3"/>
        <w:spacing w:after="0"/>
        <w:rPr>
          <w:b w:val="0"/>
          <w:lang w:val="ru-RU" w:eastAsia="ar-SA"/>
        </w:rPr>
      </w:pPr>
    </w:p>
    <w:p w:rsidR="005963DD" w:rsidRDefault="005963DD" w:rsidP="002E79ED">
      <w:pPr>
        <w:pStyle w:val="3"/>
        <w:spacing w:after="0"/>
        <w:ind w:left="3261" w:firstLine="2835"/>
        <w:rPr>
          <w:b w:val="0"/>
          <w:lang w:val="ru-RU" w:eastAsia="ar-SA"/>
        </w:rPr>
      </w:pPr>
    </w:p>
    <w:p w:rsidR="005963DD" w:rsidRDefault="005963DD" w:rsidP="002E79ED">
      <w:pPr>
        <w:pStyle w:val="3"/>
        <w:spacing w:after="0"/>
        <w:ind w:left="3261" w:firstLine="2835"/>
        <w:rPr>
          <w:b w:val="0"/>
          <w:lang w:val="ru-RU" w:eastAsia="ar-SA"/>
        </w:rPr>
      </w:pPr>
    </w:p>
    <w:p w:rsidR="005963DD" w:rsidRDefault="005963DD" w:rsidP="002E79ED">
      <w:pPr>
        <w:pStyle w:val="3"/>
        <w:spacing w:after="0"/>
        <w:ind w:left="3261" w:firstLine="2835"/>
        <w:rPr>
          <w:b w:val="0"/>
          <w:lang w:val="ru-RU" w:eastAsia="ar-SA"/>
        </w:rPr>
      </w:pPr>
    </w:p>
    <w:p w:rsidR="005963DD" w:rsidRDefault="005963DD" w:rsidP="002E79ED">
      <w:pPr>
        <w:pStyle w:val="3"/>
        <w:spacing w:after="0"/>
        <w:ind w:left="3261" w:firstLine="2835"/>
        <w:rPr>
          <w:b w:val="0"/>
          <w:lang w:val="ru-RU" w:eastAsia="ar-SA"/>
        </w:rPr>
      </w:pPr>
    </w:p>
    <w:p w:rsidR="005963DD" w:rsidRDefault="005963DD" w:rsidP="002E79ED">
      <w:pPr>
        <w:pStyle w:val="3"/>
        <w:spacing w:after="0"/>
        <w:ind w:left="3261" w:firstLine="2835"/>
        <w:rPr>
          <w:b w:val="0"/>
          <w:lang w:val="ru-RU" w:eastAsia="ar-SA"/>
        </w:rPr>
      </w:pPr>
    </w:p>
    <w:p w:rsidR="005963DD" w:rsidRDefault="005963DD" w:rsidP="002E79ED">
      <w:pPr>
        <w:pStyle w:val="3"/>
        <w:spacing w:after="0"/>
        <w:ind w:left="3261" w:firstLine="2835"/>
        <w:rPr>
          <w:b w:val="0"/>
          <w:lang w:val="ru-RU" w:eastAsia="ar-SA"/>
        </w:rPr>
      </w:pPr>
    </w:p>
    <w:p w:rsidR="005963DD" w:rsidRDefault="005963DD" w:rsidP="002E79ED">
      <w:pPr>
        <w:pStyle w:val="3"/>
        <w:spacing w:after="0"/>
        <w:ind w:left="3261" w:firstLine="2835"/>
        <w:rPr>
          <w:b w:val="0"/>
          <w:lang w:val="ru-RU" w:eastAsia="ar-SA"/>
        </w:rPr>
      </w:pPr>
    </w:p>
    <w:p w:rsidR="005963DD" w:rsidRDefault="005963DD" w:rsidP="002E79ED">
      <w:pPr>
        <w:pStyle w:val="3"/>
        <w:spacing w:after="0"/>
        <w:ind w:left="3261" w:firstLine="2835"/>
        <w:rPr>
          <w:b w:val="0"/>
          <w:lang w:val="ru-RU" w:eastAsia="ar-SA"/>
        </w:rPr>
      </w:pPr>
    </w:p>
    <w:p w:rsidR="005963DD" w:rsidRDefault="005963DD" w:rsidP="002E79ED">
      <w:pPr>
        <w:pStyle w:val="3"/>
        <w:spacing w:after="0"/>
        <w:ind w:left="3261" w:firstLine="2835"/>
        <w:rPr>
          <w:b w:val="0"/>
          <w:lang w:val="ru-RU" w:eastAsia="ar-SA"/>
        </w:rPr>
      </w:pPr>
    </w:p>
    <w:p w:rsidR="005963DD" w:rsidRDefault="005963DD" w:rsidP="0077429C">
      <w:pPr>
        <w:pStyle w:val="3"/>
        <w:spacing w:after="0"/>
        <w:rPr>
          <w:b w:val="0"/>
          <w:lang w:val="ru-RU" w:eastAsia="ar-SA"/>
        </w:rPr>
      </w:pPr>
    </w:p>
    <w:p w:rsidR="0077429C" w:rsidRDefault="0077429C" w:rsidP="0077429C">
      <w:pPr>
        <w:rPr>
          <w:lang w:eastAsia="ar-SA"/>
        </w:rPr>
      </w:pPr>
    </w:p>
    <w:p w:rsidR="0077429C" w:rsidRDefault="0077429C" w:rsidP="0077429C">
      <w:pPr>
        <w:rPr>
          <w:lang w:eastAsia="ar-SA"/>
        </w:rPr>
      </w:pPr>
    </w:p>
    <w:p w:rsidR="0077429C" w:rsidRDefault="0077429C" w:rsidP="0077429C">
      <w:pPr>
        <w:rPr>
          <w:lang w:eastAsia="ar-SA"/>
        </w:rPr>
      </w:pPr>
    </w:p>
    <w:p w:rsidR="0077429C" w:rsidRDefault="0077429C" w:rsidP="0077429C">
      <w:pPr>
        <w:rPr>
          <w:lang w:eastAsia="ar-SA"/>
        </w:rPr>
      </w:pPr>
    </w:p>
    <w:p w:rsidR="0077429C" w:rsidRDefault="0077429C" w:rsidP="0077429C">
      <w:pPr>
        <w:rPr>
          <w:lang w:eastAsia="ar-SA"/>
        </w:rPr>
      </w:pPr>
    </w:p>
    <w:p w:rsidR="0077429C" w:rsidRDefault="0077429C" w:rsidP="0077429C">
      <w:pPr>
        <w:rPr>
          <w:lang w:eastAsia="ar-SA"/>
        </w:rPr>
      </w:pPr>
    </w:p>
    <w:p w:rsidR="0077429C" w:rsidRPr="0077429C" w:rsidRDefault="0077429C" w:rsidP="0077429C">
      <w:pPr>
        <w:rPr>
          <w:lang w:eastAsia="ar-SA"/>
        </w:rPr>
      </w:pPr>
    </w:p>
    <w:p w:rsidR="002E79ED" w:rsidRPr="002E79ED" w:rsidRDefault="002E79ED" w:rsidP="002E79ED">
      <w:pPr>
        <w:pStyle w:val="3"/>
        <w:spacing w:after="0"/>
        <w:ind w:left="3261" w:firstLine="2835"/>
        <w:rPr>
          <w:b w:val="0"/>
          <w:lang w:val="ru-RU" w:eastAsia="ar-SA"/>
        </w:rPr>
      </w:pPr>
      <w:r w:rsidRPr="002E79ED">
        <w:rPr>
          <w:b w:val="0"/>
          <w:lang w:val="ru-RU" w:eastAsia="ar-SA"/>
        </w:rPr>
        <w:lastRenderedPageBreak/>
        <w:t xml:space="preserve">Приложение 1 </w:t>
      </w:r>
    </w:p>
    <w:p w:rsidR="002E79ED" w:rsidRPr="002E79ED" w:rsidRDefault="002E79ED" w:rsidP="002E79ED">
      <w:pPr>
        <w:spacing w:after="0" w:line="240" w:lineRule="auto"/>
        <w:ind w:left="3261" w:firstLine="2835"/>
        <w:rPr>
          <w:rFonts w:ascii="Times New Roman" w:hAnsi="Times New Roman" w:cs="Times New Roman"/>
          <w:sz w:val="24"/>
          <w:szCs w:val="24"/>
          <w:lang w:eastAsia="ar-SA"/>
        </w:rPr>
      </w:pPr>
      <w:r w:rsidRPr="002E79ED">
        <w:rPr>
          <w:rFonts w:ascii="Times New Roman" w:hAnsi="Times New Roman" w:cs="Times New Roman"/>
          <w:sz w:val="24"/>
          <w:szCs w:val="24"/>
          <w:lang w:eastAsia="ar-SA"/>
        </w:rPr>
        <w:t>К решению Совета депутатов</w:t>
      </w:r>
    </w:p>
    <w:p w:rsidR="002E79ED" w:rsidRDefault="002E79ED" w:rsidP="002E79ED">
      <w:pPr>
        <w:spacing w:after="0" w:line="240" w:lineRule="auto"/>
        <w:ind w:left="3261" w:firstLine="2835"/>
        <w:rPr>
          <w:rFonts w:ascii="Times New Roman" w:hAnsi="Times New Roman" w:cs="Times New Roman"/>
          <w:sz w:val="24"/>
          <w:szCs w:val="24"/>
          <w:lang w:eastAsia="ar-SA"/>
        </w:rPr>
      </w:pPr>
      <w:r w:rsidRPr="002E79ED">
        <w:rPr>
          <w:rFonts w:ascii="Times New Roman" w:hAnsi="Times New Roman" w:cs="Times New Roman"/>
          <w:sz w:val="24"/>
          <w:szCs w:val="24"/>
          <w:lang w:eastAsia="ar-SA"/>
        </w:rPr>
        <w:t xml:space="preserve">Колокольцовского МО </w:t>
      </w:r>
    </w:p>
    <w:p w:rsidR="002E79ED" w:rsidRPr="002E79ED" w:rsidRDefault="002E79ED" w:rsidP="002E79ED">
      <w:pPr>
        <w:spacing w:after="0" w:line="240" w:lineRule="auto"/>
        <w:ind w:left="3261" w:firstLine="2835"/>
        <w:rPr>
          <w:rFonts w:ascii="Times New Roman" w:hAnsi="Times New Roman" w:cs="Times New Roman"/>
          <w:sz w:val="24"/>
          <w:szCs w:val="24"/>
          <w:lang w:eastAsia="ar-SA"/>
        </w:rPr>
      </w:pPr>
      <w:r w:rsidRPr="002E79ED">
        <w:rPr>
          <w:rFonts w:ascii="Times New Roman" w:hAnsi="Times New Roman" w:cs="Times New Roman"/>
          <w:sz w:val="24"/>
          <w:szCs w:val="24"/>
          <w:lang w:eastAsia="ar-SA"/>
        </w:rPr>
        <w:t>Калининского МР</w:t>
      </w:r>
    </w:p>
    <w:p w:rsidR="002E79ED" w:rsidRPr="002E79ED" w:rsidRDefault="002E79ED" w:rsidP="002E79ED">
      <w:pPr>
        <w:spacing w:after="0" w:line="240" w:lineRule="auto"/>
        <w:ind w:left="3261" w:firstLine="2835"/>
        <w:rPr>
          <w:rFonts w:ascii="Times New Roman" w:hAnsi="Times New Roman" w:cs="Times New Roman"/>
          <w:sz w:val="24"/>
          <w:szCs w:val="24"/>
          <w:lang w:eastAsia="ar-SA"/>
        </w:rPr>
      </w:pPr>
      <w:r w:rsidRPr="002E79ED">
        <w:rPr>
          <w:rFonts w:ascii="Times New Roman" w:hAnsi="Times New Roman" w:cs="Times New Roman"/>
          <w:sz w:val="24"/>
          <w:szCs w:val="24"/>
          <w:lang w:eastAsia="ar-SA"/>
        </w:rPr>
        <w:t>Саратовской области</w:t>
      </w:r>
    </w:p>
    <w:p w:rsidR="002E79ED" w:rsidRPr="002E79ED" w:rsidRDefault="002E79ED" w:rsidP="002E79ED">
      <w:pPr>
        <w:spacing w:after="0" w:line="240" w:lineRule="auto"/>
        <w:ind w:left="3261" w:firstLine="2835"/>
        <w:rPr>
          <w:rFonts w:ascii="Times New Roman" w:hAnsi="Times New Roman" w:cs="Times New Roman"/>
          <w:sz w:val="24"/>
          <w:szCs w:val="24"/>
          <w:lang w:eastAsia="ar-SA"/>
        </w:rPr>
      </w:pPr>
      <w:r w:rsidRPr="002E79E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5963DD">
        <w:rPr>
          <w:rFonts w:ascii="Times New Roman" w:hAnsi="Times New Roman" w:cs="Times New Roman"/>
          <w:sz w:val="24"/>
          <w:szCs w:val="24"/>
          <w:lang w:eastAsia="ar-SA"/>
        </w:rPr>
        <w:t xml:space="preserve">24.10.2019 г. </w:t>
      </w:r>
      <w:r w:rsidRPr="002E79ED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="005963DD">
        <w:rPr>
          <w:rFonts w:ascii="Times New Roman" w:hAnsi="Times New Roman" w:cs="Times New Roman"/>
          <w:sz w:val="24"/>
          <w:szCs w:val="24"/>
          <w:lang w:eastAsia="ar-SA"/>
        </w:rPr>
        <w:t xml:space="preserve"> 10-02</w:t>
      </w:r>
    </w:p>
    <w:p w:rsidR="002E79ED" w:rsidRDefault="002E79ED" w:rsidP="002E79ED">
      <w:pPr>
        <w:pStyle w:val="3"/>
        <w:rPr>
          <w:lang w:val="ru-RU" w:eastAsia="ar-SA"/>
        </w:rPr>
      </w:pPr>
    </w:p>
    <w:p w:rsidR="002E79ED" w:rsidRPr="002E79ED" w:rsidRDefault="002E79ED" w:rsidP="002E79ED">
      <w:pPr>
        <w:pStyle w:val="3"/>
        <w:rPr>
          <w:lang w:val="ru-RU" w:eastAsia="ar-SA"/>
        </w:rPr>
      </w:pPr>
      <w:r w:rsidRPr="002E79ED">
        <w:rPr>
          <w:lang w:val="ru-RU" w:eastAsia="ar-SA"/>
        </w:rPr>
        <w:t>Статья 12.7. Зона сельскохозяйственного использования</w:t>
      </w:r>
      <w:bookmarkEnd w:id="0"/>
    </w:p>
    <w:p w:rsidR="002E79ED" w:rsidRPr="002E79ED" w:rsidRDefault="002E79ED" w:rsidP="002E79ED">
      <w:pPr>
        <w:suppressAutoHyphens/>
        <w:jc w:val="right"/>
        <w:rPr>
          <w:rFonts w:ascii="Times New Roman" w:hAnsi="Times New Roman" w:cs="Times New Roman"/>
          <w:b/>
          <w:bCs/>
          <w:lang w:eastAsia="ar-SA"/>
        </w:rPr>
      </w:pPr>
      <w:r w:rsidRPr="002E79ED">
        <w:rPr>
          <w:rFonts w:ascii="Times New Roman" w:hAnsi="Times New Roman" w:cs="Times New Roman"/>
          <w:b/>
          <w:bCs/>
          <w:lang w:eastAsia="ar-SA"/>
        </w:rPr>
        <w:t>Индекс зоны</w:t>
      </w:r>
      <w:proofErr w:type="gramStart"/>
      <w:r w:rsidRPr="002E79ED">
        <w:rPr>
          <w:rFonts w:ascii="Times New Roman" w:hAnsi="Times New Roman" w:cs="Times New Roman"/>
          <w:b/>
          <w:bCs/>
          <w:lang w:eastAsia="ar-SA"/>
        </w:rPr>
        <w:t xml:space="preserve"> С</w:t>
      </w:r>
      <w:proofErr w:type="gramEnd"/>
      <w:r w:rsidRPr="002E79ED">
        <w:rPr>
          <w:rFonts w:ascii="Times New Roman" w:hAnsi="Times New Roman" w:cs="Times New Roman"/>
          <w:b/>
          <w:bCs/>
          <w:lang w:eastAsia="ar-SA"/>
        </w:rPr>
        <w:t xml:space="preserve"> 1</w:t>
      </w:r>
    </w:p>
    <w:p w:rsidR="002E79ED" w:rsidRPr="002E79ED" w:rsidRDefault="002E79ED" w:rsidP="002E79ED">
      <w:pPr>
        <w:suppressAutoHyphens/>
        <w:jc w:val="right"/>
        <w:rPr>
          <w:rFonts w:ascii="Times New Roman" w:hAnsi="Times New Roman" w:cs="Times New Roman"/>
          <w:b/>
          <w:bCs/>
          <w:lang w:eastAsia="ar-SA"/>
        </w:rPr>
      </w:pPr>
      <w:r w:rsidRPr="002E79ED">
        <w:rPr>
          <w:rFonts w:ascii="Times New Roman" w:hAnsi="Times New Roman" w:cs="Times New Roman"/>
          <w:b/>
          <w:bCs/>
          <w:lang w:eastAsia="ar-SA"/>
        </w:rPr>
        <w:t>Зона земель сельскохозяйственных угодий.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"/>
        <w:gridCol w:w="2372"/>
        <w:gridCol w:w="6992"/>
      </w:tblGrid>
      <w:tr w:rsidR="002E79ED" w:rsidRPr="002E79ED" w:rsidTr="005C2BC8">
        <w:tc>
          <w:tcPr>
            <w:tcW w:w="464" w:type="dxa"/>
          </w:tcPr>
          <w:p w:rsidR="002E79ED" w:rsidRPr="002E79ED" w:rsidRDefault="002E79ED" w:rsidP="005C2BC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372" w:type="dxa"/>
          </w:tcPr>
          <w:p w:rsidR="002E79ED" w:rsidRPr="002E79ED" w:rsidRDefault="002E79ED" w:rsidP="005C2BC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992" w:type="dxa"/>
          </w:tcPr>
          <w:p w:rsidR="002E79ED" w:rsidRPr="002E79ED" w:rsidRDefault="002E79ED" w:rsidP="005C2BC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</w:tr>
      <w:tr w:rsidR="002E79ED" w:rsidRPr="002E79ED" w:rsidTr="005C2BC8">
        <w:tc>
          <w:tcPr>
            <w:tcW w:w="9828" w:type="dxa"/>
            <w:gridSpan w:val="3"/>
          </w:tcPr>
          <w:p w:rsidR="002E79ED" w:rsidRPr="002E79ED" w:rsidRDefault="002E79ED" w:rsidP="005C2BC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Виды разрешенного использования</w:t>
            </w:r>
          </w:p>
        </w:tc>
      </w:tr>
      <w:tr w:rsidR="002E79ED" w:rsidRPr="002E79ED" w:rsidTr="005C2BC8">
        <w:trPr>
          <w:trHeight w:val="1265"/>
        </w:trPr>
        <w:tc>
          <w:tcPr>
            <w:tcW w:w="464" w:type="dxa"/>
          </w:tcPr>
          <w:p w:rsidR="002E79ED" w:rsidRPr="002E79ED" w:rsidRDefault="002E79ED" w:rsidP="005C2BC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2372" w:type="dxa"/>
          </w:tcPr>
          <w:p w:rsidR="002E79ED" w:rsidRPr="002E79ED" w:rsidRDefault="002E79ED" w:rsidP="005C2BC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 xml:space="preserve">Основные виды разрешенного использования. </w:t>
            </w:r>
          </w:p>
          <w:p w:rsidR="002E79ED" w:rsidRPr="002E79ED" w:rsidRDefault="002E79ED" w:rsidP="005C2BC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992" w:type="dxa"/>
          </w:tcPr>
          <w:p w:rsidR="002E79ED" w:rsidRPr="002E79ED" w:rsidRDefault="002E79ED" w:rsidP="002E79ED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2E79ED">
              <w:rPr>
                <w:rFonts w:ascii="Times New Roman" w:hAnsi="Times New Roman" w:cs="Times New Roman"/>
                <w:lang w:eastAsia="ar-SA"/>
              </w:rPr>
              <w:t>Земельные участки, занятые огородами, садами, пашней, пастбищами, многолетними насаждениями до момента изменения их использования для нужд развития населенного пункта (ст.85.</w:t>
            </w:r>
            <w:proofErr w:type="gramEnd"/>
            <w:r w:rsidRPr="002E79ED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2E79ED">
              <w:rPr>
                <w:rFonts w:ascii="Times New Roman" w:hAnsi="Times New Roman" w:cs="Times New Roman"/>
                <w:lang w:eastAsia="ar-SA"/>
              </w:rPr>
              <w:t>Земельный кодекс РФ). (1.1-1.18), обеспечение сельскохозяйственного производства</w:t>
            </w:r>
            <w:proofErr w:type="gramEnd"/>
          </w:p>
        </w:tc>
      </w:tr>
      <w:tr w:rsidR="002E79ED" w:rsidRPr="002E79ED" w:rsidTr="005C2BC8">
        <w:trPr>
          <w:trHeight w:val="658"/>
        </w:trPr>
        <w:tc>
          <w:tcPr>
            <w:tcW w:w="464" w:type="dxa"/>
          </w:tcPr>
          <w:p w:rsidR="002E79ED" w:rsidRPr="002E79ED" w:rsidRDefault="002E79ED" w:rsidP="005C2BC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2.</w:t>
            </w:r>
          </w:p>
        </w:tc>
        <w:tc>
          <w:tcPr>
            <w:tcW w:w="2372" w:type="dxa"/>
          </w:tcPr>
          <w:p w:rsidR="002E79ED" w:rsidRPr="002E79ED" w:rsidRDefault="002E79ED" w:rsidP="005C2BC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Вспомогательные разрешенные виды использования.</w:t>
            </w:r>
          </w:p>
        </w:tc>
        <w:tc>
          <w:tcPr>
            <w:tcW w:w="6992" w:type="dxa"/>
          </w:tcPr>
          <w:p w:rsidR="002E79ED" w:rsidRPr="002E79ED" w:rsidRDefault="002E79ED" w:rsidP="002E79ED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Лесозащитные полосы. (12.0)</w:t>
            </w:r>
          </w:p>
        </w:tc>
      </w:tr>
      <w:tr w:rsidR="002E79ED" w:rsidRPr="002E79ED" w:rsidTr="005C2BC8">
        <w:trPr>
          <w:trHeight w:val="658"/>
        </w:trPr>
        <w:tc>
          <w:tcPr>
            <w:tcW w:w="464" w:type="dxa"/>
          </w:tcPr>
          <w:p w:rsidR="002E79ED" w:rsidRPr="002E79ED" w:rsidRDefault="002E79ED" w:rsidP="005C2BC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2372" w:type="dxa"/>
          </w:tcPr>
          <w:p w:rsidR="002E79ED" w:rsidRPr="002E79ED" w:rsidRDefault="002E79ED" w:rsidP="005C2BC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6992" w:type="dxa"/>
          </w:tcPr>
          <w:p w:rsidR="002E79ED" w:rsidRPr="002E79ED" w:rsidRDefault="002E79ED" w:rsidP="002E79ED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не подлежат установлению</w:t>
            </w:r>
          </w:p>
        </w:tc>
      </w:tr>
      <w:tr w:rsidR="002E79ED" w:rsidRPr="002E79ED" w:rsidTr="005C2BC8">
        <w:trPr>
          <w:trHeight w:val="658"/>
        </w:trPr>
        <w:tc>
          <w:tcPr>
            <w:tcW w:w="9828" w:type="dxa"/>
            <w:gridSpan w:val="3"/>
          </w:tcPr>
          <w:p w:rsidR="002E79ED" w:rsidRPr="002E79ED" w:rsidRDefault="002E79ED" w:rsidP="005C2BC8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bookmarkStart w:id="1" w:name="OLE_LINK46"/>
            <w:r w:rsidRPr="002E79ED">
              <w:rPr>
                <w:rFonts w:ascii="Times New Roman" w:hAnsi="Times New Roman" w:cs="Times New Roman"/>
              </w:rPr>
              <w:t>Предельные параметры разрешенного строительства, реконструкции объектов капитального строительства</w:t>
            </w:r>
            <w:bookmarkEnd w:id="1"/>
          </w:p>
        </w:tc>
      </w:tr>
      <w:tr w:rsidR="002E79ED" w:rsidRPr="002E79ED" w:rsidTr="005C2BC8">
        <w:trPr>
          <w:trHeight w:val="658"/>
        </w:trPr>
        <w:tc>
          <w:tcPr>
            <w:tcW w:w="464" w:type="dxa"/>
          </w:tcPr>
          <w:p w:rsidR="002E79ED" w:rsidRPr="002E79ED" w:rsidRDefault="002E79ED" w:rsidP="005C2BC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2372" w:type="dxa"/>
          </w:tcPr>
          <w:p w:rsidR="002E79ED" w:rsidRPr="002E79ED" w:rsidRDefault="002E79ED" w:rsidP="005C2BC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Архитектурно-строительные требования.</w:t>
            </w:r>
          </w:p>
        </w:tc>
        <w:tc>
          <w:tcPr>
            <w:tcW w:w="6992" w:type="dxa"/>
          </w:tcPr>
          <w:p w:rsidR="002E79ED" w:rsidRPr="002E79ED" w:rsidRDefault="002E79ED" w:rsidP="002E79ED">
            <w:pPr>
              <w:pStyle w:val="ConsNormal"/>
              <w:widowControl/>
              <w:numPr>
                <w:ilvl w:val="0"/>
                <w:numId w:val="5"/>
              </w:numPr>
              <w:spacing w:before="0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2E79ED" w:rsidRPr="002E79ED" w:rsidRDefault="002E79ED" w:rsidP="002E79ED">
            <w:pPr>
              <w:pStyle w:val="ConsNormal"/>
              <w:widowControl/>
              <w:numPr>
                <w:ilvl w:val="0"/>
                <w:numId w:val="7"/>
              </w:numPr>
              <w:spacing w:before="0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</w:t>
            </w:r>
            <w:proofErr w:type="gramStart"/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500 до 500000 кв. м;</w:t>
            </w:r>
          </w:p>
          <w:p w:rsidR="002E79ED" w:rsidRPr="002E79ED" w:rsidRDefault="002E79ED" w:rsidP="002E79ED">
            <w:pPr>
              <w:pStyle w:val="ConsNormal"/>
              <w:widowControl/>
              <w:numPr>
                <w:ilvl w:val="0"/>
                <w:numId w:val="5"/>
              </w:numPr>
              <w:spacing w:before="0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2.Минимальные отступы от границ земельных участков не подлежат установлению.</w:t>
            </w:r>
          </w:p>
          <w:p w:rsidR="002E79ED" w:rsidRPr="002E79ED" w:rsidRDefault="002E79ED" w:rsidP="002E79ED">
            <w:pPr>
              <w:pStyle w:val="ConsNormal"/>
              <w:widowControl/>
              <w:numPr>
                <w:ilvl w:val="0"/>
                <w:numId w:val="5"/>
              </w:numPr>
              <w:spacing w:before="0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3.Предельное количество этажей – не подлежит установлению.</w:t>
            </w:r>
          </w:p>
          <w:p w:rsidR="002E79ED" w:rsidRPr="002E79ED" w:rsidRDefault="002E79ED" w:rsidP="002E79ED">
            <w:pPr>
              <w:pStyle w:val="ConsNormal"/>
              <w:widowControl/>
              <w:numPr>
                <w:ilvl w:val="0"/>
                <w:numId w:val="5"/>
              </w:numPr>
              <w:spacing w:before="0"/>
              <w:ind w:right="0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4.Максимальный процент застройки в границах земельного участка – не подлежит установлению.</w:t>
            </w:r>
          </w:p>
        </w:tc>
      </w:tr>
      <w:tr w:rsidR="002E79ED" w:rsidRPr="002E79ED" w:rsidTr="005C2BC8">
        <w:trPr>
          <w:trHeight w:val="658"/>
        </w:trPr>
        <w:tc>
          <w:tcPr>
            <w:tcW w:w="464" w:type="dxa"/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spacing w:line="71" w:lineRule="atLeast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2E79ED">
              <w:rPr>
                <w:rFonts w:ascii="Times New Roman" w:hAnsi="Times New Roman" w:cs="Times New Roman"/>
                <w:color w:val="000000"/>
                <w:lang w:eastAsia="ar-SA"/>
              </w:rPr>
              <w:t>5.</w:t>
            </w:r>
          </w:p>
        </w:tc>
        <w:tc>
          <w:tcPr>
            <w:tcW w:w="2372" w:type="dxa"/>
          </w:tcPr>
          <w:p w:rsidR="002E79ED" w:rsidRPr="002E79ED" w:rsidRDefault="002E79ED" w:rsidP="005C2BC8">
            <w:pPr>
              <w:suppressAutoHyphens/>
              <w:snapToGrid w:val="0"/>
              <w:spacing w:line="71" w:lineRule="atLeast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2E79ED">
              <w:rPr>
                <w:rFonts w:ascii="Times New Roman" w:hAnsi="Times New Roman" w:cs="Times New Roman"/>
                <w:color w:val="000000"/>
                <w:lang w:eastAsia="ar-SA"/>
              </w:rPr>
              <w:t>Охрана культурного наследия.</w:t>
            </w:r>
          </w:p>
        </w:tc>
        <w:tc>
          <w:tcPr>
            <w:tcW w:w="6992" w:type="dxa"/>
          </w:tcPr>
          <w:p w:rsidR="002E79ED" w:rsidRPr="002E79ED" w:rsidRDefault="002E79ED" w:rsidP="002E79ED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2E79ED">
              <w:rPr>
                <w:rFonts w:ascii="Times New Roman" w:hAnsi="Times New Roman" w:cs="Times New Roman"/>
                <w:color w:val="000000"/>
                <w:lang w:eastAsia="ar-SA"/>
              </w:rPr>
              <w:t xml:space="preserve">В </w:t>
            </w:r>
            <w:r w:rsidRPr="002E79ED">
              <w:rPr>
                <w:rFonts w:ascii="Times New Roman" w:hAnsi="Times New Roman" w:cs="Times New Roman"/>
                <w:lang w:eastAsia="ar-SA"/>
              </w:rPr>
              <w:t>данной</w:t>
            </w:r>
            <w:r w:rsidRPr="002E79ED">
              <w:rPr>
                <w:rFonts w:ascii="Times New Roman" w:hAnsi="Times New Roman" w:cs="Times New Roman"/>
                <w:color w:val="000000"/>
                <w:lang w:eastAsia="ar-SA"/>
              </w:rPr>
              <w:t xml:space="preserve"> зоне </w:t>
            </w:r>
            <w:proofErr w:type="spellStart"/>
            <w:r w:rsidRPr="002E79ED">
              <w:rPr>
                <w:rFonts w:ascii="Times New Roman" w:hAnsi="Times New Roman" w:cs="Times New Roman"/>
                <w:color w:val="000000"/>
                <w:lang w:eastAsia="ar-SA"/>
              </w:rPr>
              <w:t>дисперсно</w:t>
            </w:r>
            <w:proofErr w:type="spellEnd"/>
            <w:r w:rsidRPr="002E79ED">
              <w:rPr>
                <w:rFonts w:ascii="Times New Roman" w:hAnsi="Times New Roman" w:cs="Times New Roman"/>
                <w:color w:val="000000"/>
                <w:lang w:eastAsia="ar-SA"/>
              </w:rPr>
              <w:t xml:space="preserve"> расположены объекты культурного наследия, режим содержания которых принимается в </w:t>
            </w:r>
            <w:proofErr w:type="gramStart"/>
            <w:r w:rsidRPr="002E79ED">
              <w:rPr>
                <w:rFonts w:ascii="Times New Roman" w:hAnsi="Times New Roman" w:cs="Times New Roman"/>
                <w:color w:val="000000"/>
                <w:lang w:eastAsia="ar-SA"/>
              </w:rPr>
              <w:t>порядке</w:t>
            </w:r>
            <w:proofErr w:type="gramEnd"/>
            <w:r w:rsidRPr="002E79ED">
              <w:rPr>
                <w:rFonts w:ascii="Times New Roman" w:hAnsi="Times New Roman" w:cs="Times New Roman"/>
                <w:color w:val="000000"/>
                <w:lang w:eastAsia="ar-SA"/>
              </w:rPr>
              <w:t xml:space="preserve"> установленном законодательством РФ и в соответствии с дополнительными регламентами зон с особыми условиями использования ст. 13.4</w:t>
            </w:r>
          </w:p>
        </w:tc>
      </w:tr>
    </w:tbl>
    <w:p w:rsidR="002E79ED" w:rsidRDefault="002E79ED" w:rsidP="002E79ED">
      <w:pPr>
        <w:jc w:val="right"/>
        <w:rPr>
          <w:rFonts w:ascii="Times New Roman" w:hAnsi="Times New Roman" w:cs="Times New Roman"/>
          <w:b/>
          <w:bCs/>
          <w:lang w:eastAsia="ar-SA"/>
        </w:rPr>
      </w:pPr>
    </w:p>
    <w:p w:rsidR="002E79ED" w:rsidRDefault="002E79ED" w:rsidP="002E79ED">
      <w:pPr>
        <w:jc w:val="right"/>
        <w:rPr>
          <w:rFonts w:ascii="Times New Roman" w:hAnsi="Times New Roman" w:cs="Times New Roman"/>
          <w:b/>
          <w:bCs/>
          <w:lang w:eastAsia="ar-SA"/>
        </w:rPr>
      </w:pPr>
    </w:p>
    <w:p w:rsidR="002E79ED" w:rsidRPr="002E79ED" w:rsidRDefault="002E79ED" w:rsidP="002E79ED">
      <w:pPr>
        <w:jc w:val="right"/>
        <w:rPr>
          <w:rFonts w:ascii="Times New Roman" w:hAnsi="Times New Roman" w:cs="Times New Roman"/>
          <w:b/>
          <w:bCs/>
          <w:lang w:eastAsia="ar-SA"/>
        </w:rPr>
      </w:pPr>
      <w:r w:rsidRPr="002E79ED">
        <w:rPr>
          <w:rFonts w:ascii="Times New Roman" w:hAnsi="Times New Roman" w:cs="Times New Roman"/>
          <w:b/>
          <w:bCs/>
          <w:lang w:eastAsia="ar-SA"/>
        </w:rPr>
        <w:lastRenderedPageBreak/>
        <w:t>Индекс зоны С 2</w:t>
      </w:r>
    </w:p>
    <w:p w:rsidR="002E79ED" w:rsidRPr="002E79ED" w:rsidRDefault="002E79ED" w:rsidP="002E79ED">
      <w:pPr>
        <w:suppressAutoHyphens/>
        <w:ind w:firstLine="567"/>
        <w:jc w:val="right"/>
        <w:rPr>
          <w:rFonts w:ascii="Times New Roman" w:hAnsi="Times New Roman" w:cs="Times New Roman"/>
          <w:b/>
          <w:bCs/>
          <w:lang w:eastAsia="ar-SA"/>
        </w:rPr>
      </w:pPr>
      <w:r w:rsidRPr="002E79ED">
        <w:rPr>
          <w:rFonts w:ascii="Times New Roman" w:hAnsi="Times New Roman" w:cs="Times New Roman"/>
          <w:b/>
          <w:bCs/>
          <w:lang w:eastAsia="ar-SA"/>
        </w:rPr>
        <w:t>Зона садово-огородных участков, личных подсобных хозяйств.</w:t>
      </w:r>
    </w:p>
    <w:tbl>
      <w:tblPr>
        <w:tblpPr w:leftFromText="180" w:rightFromText="180" w:vertAnchor="text" w:horzAnchor="margin" w:tblpY="205"/>
        <w:tblW w:w="9464" w:type="dxa"/>
        <w:tblLook w:val="00A0"/>
      </w:tblPr>
      <w:tblGrid>
        <w:gridCol w:w="476"/>
        <w:gridCol w:w="2234"/>
        <w:gridCol w:w="6754"/>
      </w:tblGrid>
      <w:tr w:rsidR="002E79ED" w:rsidRPr="002E79ED" w:rsidTr="005C2BC8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№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Тип регламента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Содержание регламента</w:t>
            </w:r>
          </w:p>
        </w:tc>
      </w:tr>
      <w:tr w:rsidR="002E79ED" w:rsidRPr="002E79ED" w:rsidTr="005C2BC8"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</w:tr>
      <w:tr w:rsidR="002E79ED" w:rsidRPr="002E79ED" w:rsidTr="005C2BC8">
        <w:tc>
          <w:tcPr>
            <w:tcW w:w="94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Виды разрешенного использования</w:t>
            </w:r>
          </w:p>
        </w:tc>
      </w:tr>
      <w:tr w:rsidR="002E79ED" w:rsidRPr="002E79ED" w:rsidTr="005C2BC8">
        <w:trPr>
          <w:trHeight w:val="801"/>
        </w:trPr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1.</w:t>
            </w:r>
          </w:p>
          <w:p w:rsidR="002E79ED" w:rsidRPr="002E79ED" w:rsidRDefault="002E79ED" w:rsidP="005C2BC8">
            <w:pPr>
              <w:tabs>
                <w:tab w:val="left" w:pos="1155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Основные виды разрешенного использования.</w:t>
            </w:r>
          </w:p>
        </w:tc>
        <w:tc>
          <w:tcPr>
            <w:tcW w:w="6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- Сезонное жильё: (13.3)</w:t>
            </w:r>
          </w:p>
          <w:p w:rsidR="002E79ED" w:rsidRPr="002E79ED" w:rsidRDefault="002E79ED" w:rsidP="002E79ED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Садоводства, огородничества(13.1), (13.2)</w:t>
            </w:r>
          </w:p>
        </w:tc>
      </w:tr>
      <w:tr w:rsidR="002E79ED" w:rsidRPr="002E79ED" w:rsidTr="005C2BC8">
        <w:trPr>
          <w:trHeight w:val="1445"/>
        </w:trPr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2.</w:t>
            </w:r>
          </w:p>
          <w:p w:rsidR="002E79ED" w:rsidRPr="002E79ED" w:rsidRDefault="002E79ED" w:rsidP="005C2BC8">
            <w:pPr>
              <w:tabs>
                <w:tab w:val="left" w:pos="1155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 xml:space="preserve">Вспомогательные </w:t>
            </w:r>
          </w:p>
          <w:p w:rsidR="002E79ED" w:rsidRPr="002E79ED" w:rsidRDefault="002E79ED" w:rsidP="005C2BC8">
            <w:pPr>
              <w:tabs>
                <w:tab w:val="left" w:pos="1155"/>
              </w:tabs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 xml:space="preserve">виды </w:t>
            </w:r>
            <w:proofErr w:type="gramStart"/>
            <w:r w:rsidRPr="002E79ED">
              <w:rPr>
                <w:rFonts w:ascii="Times New Roman" w:hAnsi="Times New Roman" w:cs="Times New Roman"/>
                <w:lang w:eastAsia="ar-SA"/>
              </w:rPr>
              <w:t>разрешенного</w:t>
            </w:r>
            <w:proofErr w:type="gramEnd"/>
          </w:p>
          <w:p w:rsidR="002E79ED" w:rsidRPr="002E79ED" w:rsidRDefault="002E79ED" w:rsidP="005C2BC8">
            <w:pPr>
              <w:tabs>
                <w:tab w:val="left" w:pos="1155"/>
              </w:tabs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использования.</w:t>
            </w:r>
          </w:p>
          <w:p w:rsidR="002E79ED" w:rsidRPr="002E79ED" w:rsidRDefault="002E79ED" w:rsidP="005C2BC8">
            <w:pPr>
              <w:tabs>
                <w:tab w:val="left" w:pos="1155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ED" w:rsidRPr="002E79ED" w:rsidRDefault="002E79ED" w:rsidP="002E79ED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 xml:space="preserve">Гаражи индивидуальных машин </w:t>
            </w:r>
            <w:proofErr w:type="gramStart"/>
            <w:r w:rsidRPr="002E79ED">
              <w:rPr>
                <w:rFonts w:ascii="Times New Roman" w:hAnsi="Times New Roman" w:cs="Times New Roman"/>
                <w:lang w:eastAsia="ar-SA"/>
              </w:rPr>
              <w:t xml:space="preserve">( </w:t>
            </w:r>
            <w:proofErr w:type="gramEnd"/>
            <w:r w:rsidRPr="002E79ED">
              <w:rPr>
                <w:rFonts w:ascii="Times New Roman" w:hAnsi="Times New Roman" w:cs="Times New Roman"/>
                <w:lang w:eastAsia="ar-SA"/>
              </w:rPr>
              <w:t>в пределах земельного участка при соблюдении противопожарных норм); (2.7.1)</w:t>
            </w:r>
          </w:p>
          <w:p w:rsidR="002E79ED" w:rsidRPr="002E79ED" w:rsidRDefault="002E79ED" w:rsidP="002E79ED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Хозяйственные постройки; (3.1)</w:t>
            </w:r>
          </w:p>
          <w:p w:rsidR="002E79ED" w:rsidRPr="002E79ED" w:rsidRDefault="002E79ED" w:rsidP="002E79ED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Объекты пожарной охраны; (8.3)</w:t>
            </w:r>
          </w:p>
          <w:p w:rsidR="002E79ED" w:rsidRPr="002E79ED" w:rsidRDefault="002E79ED" w:rsidP="002E79ED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Сооружения, связанные с выращиванием цветов, фруктов, овощей.(1.17)</w:t>
            </w:r>
          </w:p>
        </w:tc>
      </w:tr>
      <w:tr w:rsidR="002E79ED" w:rsidRPr="002E79ED" w:rsidTr="005C2BC8">
        <w:trPr>
          <w:trHeight w:val="680"/>
        </w:trPr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 xml:space="preserve"> 3.</w:t>
            </w:r>
          </w:p>
          <w:p w:rsidR="002E79ED" w:rsidRPr="002E79ED" w:rsidRDefault="002E79ED" w:rsidP="005C2BC8">
            <w:pPr>
              <w:tabs>
                <w:tab w:val="left" w:pos="1155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6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ED" w:rsidRPr="002E79ED" w:rsidRDefault="002E79ED" w:rsidP="002E79ED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Центры обслуживания садоводств.(4.4)</w:t>
            </w:r>
          </w:p>
          <w:p w:rsidR="002E79ED" w:rsidRPr="002E79ED" w:rsidRDefault="002E79ED" w:rsidP="002E79ED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Площадки для хозяйственных целей. (4.3)</w:t>
            </w:r>
          </w:p>
          <w:p w:rsidR="002E79ED" w:rsidRPr="002E79ED" w:rsidRDefault="002E79ED" w:rsidP="002E79ED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Объекты розничной торговли.(4.3)</w:t>
            </w:r>
          </w:p>
        </w:tc>
      </w:tr>
      <w:tr w:rsidR="002E79ED" w:rsidRPr="002E79ED" w:rsidTr="005C2BC8">
        <w:trPr>
          <w:trHeight w:val="189"/>
        </w:trPr>
        <w:tc>
          <w:tcPr>
            <w:tcW w:w="94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ED" w:rsidRPr="002E79ED" w:rsidRDefault="002E79ED" w:rsidP="005C2BC8">
            <w:pPr>
              <w:widowControl w:val="0"/>
              <w:tabs>
                <w:tab w:val="left" w:pos="1155"/>
              </w:tabs>
              <w:suppressAutoHyphens/>
              <w:spacing w:line="189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bookmarkStart w:id="2" w:name="OLE_LINK51"/>
            <w:r w:rsidRPr="002E79ED">
              <w:rPr>
                <w:rFonts w:ascii="Times New Roman" w:hAnsi="Times New Roman" w:cs="Times New Roman"/>
              </w:rPr>
              <w:t>Предельные параметры разрешенного строительства, реконструкции объектов капитального строительства</w:t>
            </w:r>
            <w:bookmarkEnd w:id="2"/>
          </w:p>
        </w:tc>
      </w:tr>
      <w:tr w:rsidR="002E79ED" w:rsidRPr="002E79ED" w:rsidTr="005C2BC8">
        <w:trPr>
          <w:trHeight w:val="71"/>
        </w:trPr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spacing w:line="71" w:lineRule="atLeast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4.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spacing w:line="71" w:lineRule="atLeast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Архитектурно-строительные требования</w:t>
            </w:r>
          </w:p>
        </w:tc>
        <w:tc>
          <w:tcPr>
            <w:tcW w:w="6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ED" w:rsidRPr="002E79ED" w:rsidRDefault="002E79ED" w:rsidP="002E79ED">
            <w:pPr>
              <w:pStyle w:val="ConsNormal"/>
              <w:widowControl/>
              <w:numPr>
                <w:ilvl w:val="0"/>
                <w:numId w:val="5"/>
              </w:numPr>
              <w:spacing w:before="0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2E79ED" w:rsidRPr="002E79ED" w:rsidRDefault="002E79ED" w:rsidP="002E79ED">
            <w:pPr>
              <w:pStyle w:val="ConsNormal"/>
              <w:widowControl/>
              <w:numPr>
                <w:ilvl w:val="0"/>
                <w:numId w:val="6"/>
              </w:numPr>
              <w:spacing w:before="0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</w:t>
            </w:r>
            <w:proofErr w:type="gramStart"/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300 до 3000 кв. м;</w:t>
            </w:r>
          </w:p>
          <w:p w:rsidR="002E79ED" w:rsidRPr="002E79ED" w:rsidRDefault="002E79ED" w:rsidP="002E79ED">
            <w:pPr>
              <w:pStyle w:val="ConsNormal"/>
              <w:widowControl/>
              <w:numPr>
                <w:ilvl w:val="0"/>
                <w:numId w:val="5"/>
              </w:numPr>
              <w:spacing w:before="0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2.Минимальные отступы от границ земельных участков – не подлежат установлению.</w:t>
            </w:r>
          </w:p>
          <w:p w:rsidR="002E79ED" w:rsidRPr="002E79ED" w:rsidRDefault="002E79ED" w:rsidP="002E79ED">
            <w:pPr>
              <w:pStyle w:val="ConsNormal"/>
              <w:widowControl/>
              <w:numPr>
                <w:ilvl w:val="0"/>
                <w:numId w:val="5"/>
              </w:numPr>
              <w:spacing w:before="0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3.Предельное количество этажей – не подлежит установлению.</w:t>
            </w:r>
          </w:p>
          <w:p w:rsidR="002E79ED" w:rsidRPr="002E79ED" w:rsidRDefault="002E79ED" w:rsidP="002E79ED">
            <w:pPr>
              <w:pStyle w:val="ConsNormal"/>
              <w:widowControl/>
              <w:numPr>
                <w:ilvl w:val="0"/>
                <w:numId w:val="5"/>
              </w:numPr>
              <w:spacing w:before="0"/>
              <w:ind w:right="0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4.Максимальный процент застройки в границах земельного участка – не подлежит установлению.</w:t>
            </w:r>
          </w:p>
        </w:tc>
      </w:tr>
      <w:tr w:rsidR="002E79ED" w:rsidRPr="002E79ED" w:rsidTr="005C2BC8">
        <w:trPr>
          <w:trHeight w:val="71"/>
        </w:trPr>
        <w:tc>
          <w:tcPr>
            <w:tcW w:w="94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ED" w:rsidRPr="002E79ED" w:rsidRDefault="002E79ED" w:rsidP="005C2BC8">
            <w:pPr>
              <w:widowControl w:val="0"/>
              <w:tabs>
                <w:tab w:val="left" w:pos="1155"/>
              </w:tabs>
              <w:suppressAutoHyphens/>
              <w:spacing w:line="71" w:lineRule="atLeast"/>
              <w:ind w:left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Ограничения использования земельных участков и объектов капитального строительства.</w:t>
            </w:r>
          </w:p>
        </w:tc>
      </w:tr>
      <w:tr w:rsidR="002E79ED" w:rsidRPr="002E79ED" w:rsidTr="005C2BC8">
        <w:trPr>
          <w:cantSplit/>
          <w:trHeight w:val="1224"/>
        </w:trPr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5.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79ED" w:rsidRPr="002E79ED" w:rsidRDefault="002E79ED" w:rsidP="005C2BC8">
            <w:pPr>
              <w:tabs>
                <w:tab w:val="left" w:pos="1155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Санитарно-гигиенические и экологические требования</w:t>
            </w:r>
          </w:p>
          <w:p w:rsidR="002E79ED" w:rsidRPr="002E79ED" w:rsidRDefault="002E79ED" w:rsidP="005C2BC8">
            <w:pPr>
              <w:tabs>
                <w:tab w:val="left" w:pos="1155"/>
              </w:tabs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ED" w:rsidRPr="002E79ED" w:rsidRDefault="002E79ED" w:rsidP="002E79ED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Соблюдение норм, правил и гигиенических нормативов содержания населенных мест.</w:t>
            </w:r>
          </w:p>
          <w:p w:rsidR="002E79ED" w:rsidRPr="002E79ED" w:rsidRDefault="002E79ED" w:rsidP="002E79ED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79ED">
              <w:rPr>
                <w:rFonts w:ascii="Times New Roman" w:hAnsi="Times New Roman" w:cs="Times New Roman"/>
                <w:lang w:eastAsia="ar-SA"/>
              </w:rPr>
              <w:t>Площадки для мусорных контейнеров размещаются на расстоянии не менее 20 м. и не более 100 м. от границ садовых участков.</w:t>
            </w:r>
          </w:p>
        </w:tc>
      </w:tr>
    </w:tbl>
    <w:p w:rsidR="002E79ED" w:rsidRPr="002E79ED" w:rsidRDefault="002E79ED" w:rsidP="002E79ED">
      <w:pPr>
        <w:suppressAutoHyphens/>
        <w:rPr>
          <w:rFonts w:ascii="Times New Roman" w:hAnsi="Times New Roman" w:cs="Times New Roman"/>
          <w:b/>
          <w:bCs/>
          <w:lang w:eastAsia="ar-SA"/>
        </w:rPr>
      </w:pPr>
    </w:p>
    <w:p w:rsidR="002E79ED" w:rsidRPr="00265651" w:rsidRDefault="002E79ED" w:rsidP="002E79ED">
      <w:pPr>
        <w:ind w:firstLine="709"/>
      </w:pPr>
    </w:p>
    <w:p w:rsidR="002E79ED" w:rsidRPr="00BA5950" w:rsidRDefault="002E79ED" w:rsidP="002E79ED">
      <w:pPr>
        <w:ind w:firstLine="709"/>
        <w:rPr>
          <w:sz w:val="26"/>
          <w:szCs w:val="26"/>
          <w:lang w:eastAsia="ar-SA"/>
        </w:rPr>
      </w:pPr>
    </w:p>
    <w:p w:rsidR="00AB580C" w:rsidRDefault="00AB580C"/>
    <w:sectPr w:rsidR="00AB580C" w:rsidSect="0021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24"/>
    <w:multiLevelType w:val="singleLevel"/>
    <w:tmpl w:val="00000024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2">
    <w:nsid w:val="00000049"/>
    <w:multiLevelType w:val="singleLevel"/>
    <w:tmpl w:val="00000049"/>
    <w:name w:val="WW8Num7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3">
    <w:nsid w:val="0D745A6D"/>
    <w:multiLevelType w:val="hybridMultilevel"/>
    <w:tmpl w:val="2FA2E306"/>
    <w:lvl w:ilvl="0" w:tplc="C6A2D4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1F018F"/>
    <w:multiLevelType w:val="hybridMultilevel"/>
    <w:tmpl w:val="E506A01C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4F543F"/>
    <w:multiLevelType w:val="hybridMultilevel"/>
    <w:tmpl w:val="68F05FF0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CF466A1"/>
    <w:multiLevelType w:val="hybridMultilevel"/>
    <w:tmpl w:val="CBA4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79ED"/>
    <w:rsid w:val="00214511"/>
    <w:rsid w:val="002E79ED"/>
    <w:rsid w:val="005963DD"/>
    <w:rsid w:val="0077429C"/>
    <w:rsid w:val="00AB580C"/>
    <w:rsid w:val="00CB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11"/>
  </w:style>
  <w:style w:type="paragraph" w:styleId="3">
    <w:name w:val="heading 3"/>
    <w:basedOn w:val="a"/>
    <w:next w:val="a"/>
    <w:link w:val="30"/>
    <w:uiPriority w:val="99"/>
    <w:qFormat/>
    <w:rsid w:val="002E79ED"/>
    <w:pPr>
      <w:keepNext/>
      <w:keepLines/>
      <w:spacing w:before="360" w:after="12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3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9E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4">
    <w:name w:val="Верхний колонтитул Знак"/>
    <w:basedOn w:val="a0"/>
    <w:link w:val="a3"/>
    <w:rsid w:val="002E79E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onsPlusTitle">
    <w:name w:val="ConsPlusTitle"/>
    <w:rsid w:val="002E79ED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5">
    <w:name w:val="List Paragraph"/>
    <w:basedOn w:val="a"/>
    <w:uiPriority w:val="34"/>
    <w:qFormat/>
    <w:rsid w:val="002E79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2E79ED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ConsNormal">
    <w:name w:val="ConsNormal"/>
    <w:rsid w:val="002E79ED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5963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1"/>
    <w:semiHidden/>
    <w:rsid w:val="005963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5963DD"/>
  </w:style>
  <w:style w:type="character" w:customStyle="1" w:styleId="1">
    <w:name w:val="Основной текст Знак1"/>
    <w:basedOn w:val="a0"/>
    <w:link w:val="a6"/>
    <w:semiHidden/>
    <w:rsid w:val="005963DD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a8">
    <w:name w:val="Название Знак"/>
    <w:basedOn w:val="a0"/>
    <w:link w:val="a9"/>
    <w:rsid w:val="005963DD"/>
    <w:rPr>
      <w:sz w:val="24"/>
    </w:rPr>
  </w:style>
  <w:style w:type="paragraph" w:styleId="a9">
    <w:name w:val="Title"/>
    <w:basedOn w:val="a"/>
    <w:link w:val="a8"/>
    <w:qFormat/>
    <w:rsid w:val="005963DD"/>
    <w:pPr>
      <w:spacing w:after="0" w:line="240" w:lineRule="auto"/>
      <w:jc w:val="center"/>
    </w:pPr>
    <w:rPr>
      <w:sz w:val="24"/>
    </w:rPr>
  </w:style>
  <w:style w:type="character" w:customStyle="1" w:styleId="10">
    <w:name w:val="Название Знак1"/>
    <w:basedOn w:val="a0"/>
    <w:link w:val="a9"/>
    <w:uiPriority w:val="10"/>
    <w:rsid w:val="005963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59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6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2019-10-23T13:49:00Z</cp:lastPrinted>
  <dcterms:created xsi:type="dcterms:W3CDTF">2019-10-23T13:49:00Z</dcterms:created>
  <dcterms:modified xsi:type="dcterms:W3CDTF">2019-10-28T06:38:00Z</dcterms:modified>
</cp:coreProperties>
</file>